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B4A64" w:rsidRPr="00272C1A">
        <w:trPr>
          <w:trHeight w:hRule="exact" w:val="1528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 w:rsidP="00430B98">
            <w:pPr>
              <w:spacing w:after="0" w:line="240" w:lineRule="auto"/>
              <w:jc w:val="both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272C1A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72C1A">
              <w:rPr>
                <w:rFonts w:ascii="Times New Roman" w:hAnsi="Times New Roman" w:cs="Times New Roman"/>
                <w:color w:val="000000"/>
                <w:lang w:val="ru-RU"/>
              </w:rPr>
              <w:t>8.2021  №94</w:t>
            </w: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B4A64" w:rsidRPr="00272C1A">
        <w:trPr>
          <w:trHeight w:hRule="exact" w:val="138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4A64" w:rsidRPr="00272C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B4A64" w:rsidRPr="00272C1A">
        <w:trPr>
          <w:trHeight w:hRule="exact" w:val="211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277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4A64">
        <w:trPr>
          <w:trHeight w:hRule="exact" w:val="138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 w:rsidRPr="00272C1A">
        <w:trPr>
          <w:trHeight w:hRule="exact" w:val="277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B4A64" w:rsidRPr="00272C1A">
        <w:trPr>
          <w:trHeight w:hRule="exact" w:val="138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277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B4A64">
        <w:trPr>
          <w:trHeight w:hRule="exact" w:val="138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>
        <w:trPr>
          <w:trHeight w:hRule="exact" w:val="277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DE62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F3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B4A64">
        <w:trPr>
          <w:trHeight w:hRule="exact" w:val="277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4A64">
        <w:trPr>
          <w:trHeight w:hRule="exact" w:val="775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Программная инженерия</w:t>
            </w:r>
          </w:p>
          <w:p w:rsidR="004B4A64" w:rsidRDefault="007F35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4B4A64" w:rsidRDefault="004B4A64"/>
        </w:tc>
      </w:tr>
      <w:tr w:rsidR="004B4A6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4A64" w:rsidRPr="00272C1A">
        <w:trPr>
          <w:trHeight w:hRule="exact" w:val="1396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4A64" w:rsidRPr="00272C1A">
        <w:trPr>
          <w:trHeight w:hRule="exact" w:val="138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272C1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B4A64" w:rsidRPr="00272C1A">
        <w:trPr>
          <w:trHeight w:hRule="exact" w:val="416"/>
        </w:trPr>
        <w:tc>
          <w:tcPr>
            <w:tcW w:w="14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>
        <w:trPr>
          <w:trHeight w:hRule="exact" w:val="155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 w:rsidRPr="00272C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B4A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B4A6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A64" w:rsidRDefault="004B4A6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B4A6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A64" w:rsidRDefault="004B4A6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B4A6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A64" w:rsidRDefault="004B4A6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B4A6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A64" w:rsidRDefault="004B4A6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124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B4A64">
        <w:trPr>
          <w:trHeight w:hRule="exact" w:val="307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1762"/>
        </w:trPr>
        <w:tc>
          <w:tcPr>
            <w:tcW w:w="143" w:type="dxa"/>
          </w:tcPr>
          <w:p w:rsidR="004B4A64" w:rsidRDefault="004B4A64"/>
        </w:tc>
        <w:tc>
          <w:tcPr>
            <w:tcW w:w="285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1419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1277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  <w:tc>
          <w:tcPr>
            <w:tcW w:w="2836" w:type="dxa"/>
          </w:tcPr>
          <w:p w:rsidR="004B4A64" w:rsidRDefault="004B4A64"/>
        </w:tc>
      </w:tr>
      <w:tr w:rsidR="004B4A64">
        <w:trPr>
          <w:trHeight w:hRule="exact" w:val="277"/>
        </w:trPr>
        <w:tc>
          <w:tcPr>
            <w:tcW w:w="143" w:type="dxa"/>
          </w:tcPr>
          <w:p w:rsidR="004B4A64" w:rsidRDefault="004B4A6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4A64">
        <w:trPr>
          <w:trHeight w:hRule="exact" w:val="138"/>
        </w:trPr>
        <w:tc>
          <w:tcPr>
            <w:tcW w:w="143" w:type="dxa"/>
          </w:tcPr>
          <w:p w:rsidR="004B4A64" w:rsidRDefault="004B4A6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1666"/>
        </w:trPr>
        <w:tc>
          <w:tcPr>
            <w:tcW w:w="143" w:type="dxa"/>
          </w:tcPr>
          <w:p w:rsidR="004B4A64" w:rsidRDefault="004B4A6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5E8C" w:rsidRPr="008C14AD" w:rsidRDefault="009C5E8C" w:rsidP="009C5E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B4A64" w:rsidRPr="00430B98" w:rsidRDefault="004B4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B4A64" w:rsidRPr="00430B98" w:rsidRDefault="004B4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A64" w:rsidRPr="00430B98" w:rsidRDefault="007F352D" w:rsidP="00430B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4A6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4A64" w:rsidRPr="00430B98" w:rsidRDefault="004B4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4B4A64" w:rsidRPr="00430B98" w:rsidRDefault="004B4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B4A64" w:rsidRPr="00DE6254" w:rsidRDefault="00DE62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F3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B4A64" w:rsidRPr="00272C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4A64">
        <w:trPr>
          <w:trHeight w:hRule="exact" w:val="555"/>
        </w:trPr>
        <w:tc>
          <w:tcPr>
            <w:tcW w:w="9640" w:type="dxa"/>
          </w:tcPr>
          <w:p w:rsidR="004B4A64" w:rsidRDefault="004B4A64"/>
        </w:tc>
      </w:tr>
      <w:tr w:rsidR="004B4A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272C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4A64" w:rsidRPr="00272C1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33A8" w:rsidRDefault="005733A8" w:rsidP="005733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</w:t>
            </w:r>
            <w:r w:rsidR="005733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</w:t>
            </w:r>
            <w:r w:rsidR="00DC156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272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DC156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«Программная инженерия» в течение 2020/2021 учебного года: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272C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B4A64" w:rsidRPr="00272C1A">
        <w:trPr>
          <w:trHeight w:hRule="exact" w:val="138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272C1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«Программная инженерия».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4A64" w:rsidRPr="00272C1A">
        <w:trPr>
          <w:trHeight w:hRule="exact" w:val="138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272C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«Программная инженерия»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4A64" w:rsidRPr="00272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4B4A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4A64" w:rsidRPr="00272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4B4A64" w:rsidRPr="00272C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4B4A64" w:rsidRPr="00272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 w:rsidR="004B4A64" w:rsidRPr="00272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4B4A64" w:rsidRPr="00272C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4B4A64" w:rsidRPr="00272C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 w:rsidR="004B4A64" w:rsidRPr="00272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4B4A64" w:rsidRPr="00272C1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4B4A64" w:rsidRPr="00272C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272C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4B4A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4A64" w:rsidRPr="00272C1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4B4A64" w:rsidRPr="00272C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4B4A64" w:rsidRPr="00272C1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4B4A64" w:rsidRPr="00272C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4B4A64" w:rsidRPr="00272C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4B4A64" w:rsidRPr="00272C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4B4A64" w:rsidRPr="00272C1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</w:p>
        </w:tc>
      </w:tr>
      <w:tr w:rsidR="004B4A64" w:rsidRPr="00272C1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4B4A64" w:rsidRPr="00272C1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4B4A64" w:rsidRPr="00272C1A">
        <w:trPr>
          <w:trHeight w:hRule="exact" w:val="416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4A64" w:rsidRPr="00272C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«Программная инженерия»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B4A64" w:rsidRPr="00272C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4A6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4B4A64"/>
        </w:tc>
      </w:tr>
      <w:tr w:rsidR="004B4A64" w:rsidRPr="00272C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4B4A64" w:rsidRDefault="007F35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программирования</w:t>
            </w:r>
          </w:p>
          <w:p w:rsidR="004B4A64" w:rsidRDefault="007F35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Инструментальные средства разработки программного обеспечения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Коллективная разработка информационных систем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Оценка проектов по внедрению информационных систем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4B4A64" w:rsidRPr="00430B98" w:rsidRDefault="007F352D">
            <w:pPr>
              <w:spacing w:after="0" w:line="240" w:lineRule="auto"/>
              <w:jc w:val="center"/>
              <w:rPr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lang w:val="ru-RU"/>
              </w:rPr>
              <w:t>Стандарты информационного взаимодействия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ПК-8</w:t>
            </w:r>
          </w:p>
        </w:tc>
      </w:tr>
      <w:tr w:rsidR="004B4A64">
        <w:trPr>
          <w:trHeight w:hRule="exact" w:val="138"/>
        </w:trPr>
        <w:tc>
          <w:tcPr>
            <w:tcW w:w="3970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3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</w:tr>
      <w:tr w:rsidR="004B4A64" w:rsidRPr="00272C1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4A6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4A64">
        <w:trPr>
          <w:trHeight w:hRule="exact" w:val="138"/>
        </w:trPr>
        <w:tc>
          <w:tcPr>
            <w:tcW w:w="3970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3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4A6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B4A64">
        <w:trPr>
          <w:trHeight w:hRule="exact" w:val="138"/>
        </w:trPr>
        <w:tc>
          <w:tcPr>
            <w:tcW w:w="3970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3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</w:tr>
      <w:tr w:rsidR="004B4A6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4A64" w:rsidRPr="00430B98" w:rsidRDefault="004B4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4A64">
        <w:trPr>
          <w:trHeight w:hRule="exact" w:val="416"/>
        </w:trPr>
        <w:tc>
          <w:tcPr>
            <w:tcW w:w="3970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1702" w:type="dxa"/>
          </w:tcPr>
          <w:p w:rsidR="004B4A64" w:rsidRDefault="004B4A64"/>
        </w:tc>
        <w:tc>
          <w:tcPr>
            <w:tcW w:w="426" w:type="dxa"/>
          </w:tcPr>
          <w:p w:rsidR="004B4A64" w:rsidRDefault="004B4A64"/>
        </w:tc>
        <w:tc>
          <w:tcPr>
            <w:tcW w:w="710" w:type="dxa"/>
          </w:tcPr>
          <w:p w:rsidR="004B4A64" w:rsidRDefault="004B4A64"/>
        </w:tc>
        <w:tc>
          <w:tcPr>
            <w:tcW w:w="143" w:type="dxa"/>
          </w:tcPr>
          <w:p w:rsidR="004B4A64" w:rsidRDefault="004B4A64"/>
        </w:tc>
        <w:tc>
          <w:tcPr>
            <w:tcW w:w="993" w:type="dxa"/>
          </w:tcPr>
          <w:p w:rsidR="004B4A64" w:rsidRDefault="004B4A64"/>
        </w:tc>
      </w:tr>
      <w:tr w:rsidR="004B4A6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4A64" w:rsidRPr="00272C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Программная инженерия, ее место в инженерной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программной инженерии, ее место в инженерной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 спецификации, доказательство и ве- рификация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программной инженерии, ее место в инженерной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 спецификации, доказательство и верификация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Человеко-машинные интерфейсы и дизайн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 спецификации, доказательство и ве- рификация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A64" w:rsidRPr="00272C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Инженерия приложений и предметной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 приложений и предметной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 приложений и предметной области: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продукты  для информационной поддержки взаимоотношений с клиентами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 приложений и предметной области: основы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управления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4B4A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4B4A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проектом, риском и конфигурацией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определения требований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проектом, риском и конфигурацией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проектирования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разработки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определения требований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проектом, риском и конфигурацией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определения требований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4A64" w:rsidRPr="00272C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4B4A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4B4A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A64" w:rsidRDefault="004B4A64"/>
        </w:tc>
      </w:tr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A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4A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B4A64" w:rsidRPr="00272C1A">
        <w:trPr>
          <w:trHeight w:hRule="exact" w:val="24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272C1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 актом образовательной организации.</w:t>
            </w:r>
          </w:p>
        </w:tc>
      </w:tr>
      <w:tr w:rsidR="004B4A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4B4A64">
            <w:pPr>
              <w:spacing w:after="0" w:line="240" w:lineRule="auto"/>
              <w:rPr>
                <w:sz w:val="24"/>
                <w:szCs w:val="24"/>
              </w:rPr>
            </w:pPr>
          </w:p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4A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4A64" w:rsidRPr="00272C1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программной инженерии, ее место в инженерной деятельности</w:t>
            </w:r>
          </w:p>
        </w:tc>
      </w:tr>
      <w:tr w:rsidR="004B4A64" w:rsidRPr="00272C1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272C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программной инженерии, ее место в инженерной деятельности при создании компьютерных систем и общее описание десяти областей знаний профессио- нального ядра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ЖЦ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12207 и связь его процессов с областями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Методы объектного анализа и построения моделей предметных областей. Объектно-ориентированные и стандартизованные методы проектирования архитектуры системы.</w:t>
            </w:r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Формальные спецификации, доказательство и ве-рификация программ</w:t>
            </w:r>
          </w:p>
        </w:tc>
      </w:tr>
      <w:tr w:rsidR="004B4A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Формальная спецификация в информатике.  Доказательство и верификация про-грамм. Формальные методы спецификаций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VDM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методы доказательства пра- вильности программ с помощью утверждений, пред- и постусловий и верификации.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Язы- ки спецификации областей.</w:t>
            </w:r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</w:tc>
      </w:tr>
      <w:tr w:rsidR="004B4A6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интеграции и преобразования разноязыковых программ и данных, Методы изменения (реинженеринг, реверсная инженерия и рефакторинг) компонентов и систем. Стандарт о независимости типов и структур данных от языков программирования. Прин- ципы взаимодействия неоднородных компонентов в современных промежуточных средах.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Интерфейсы, взаимодействие и изменение программ и данных: основы интеграции и преобразования разноязыковых программ и данных; методы изменения (реинжениринг, рефакторинг) компонентов и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взаимодействия неоднородных компо- нентов в современных промежуточных средах.</w:t>
            </w:r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Инженерия приложений и предметной области</w:t>
            </w:r>
          </w:p>
        </w:tc>
      </w:tr>
      <w:tr w:rsidR="004B4A6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инженерии приложений и предметных областей (доменов).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систем. Использование готовых решений и агрегатов. Исследо- вания и разработки в области инженерии программирования в направлении повторного использования компонентов (ПИК): прикладная инженерия, инженерия ПрО.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стоимости системы из компонентов.</w:t>
            </w:r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управления проектом, риском и конфигурацией</w:t>
            </w:r>
          </w:p>
        </w:tc>
      </w:tr>
      <w:tr w:rsidR="004B4A64" w:rsidRPr="00272C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неудач программных проектов. Метод критического пути СРМ. Метод анализа 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Планирование проекта. Составление графиков работ вы-полнения проекта.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аспекты управления проектом. Системы управления проектом. Методы управления рисками в проекте. Управление конфигурацией программной систе-мы. Управление проектными работами и командой исполнителей, Управление рисками. Оценивание продукта и процессов в целях их дальнейшего усовершенствования.</w:t>
            </w:r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определения требований в программной инженерии</w:t>
            </w:r>
          </w:p>
        </w:tc>
      </w:tr>
      <w:tr w:rsidR="004B4A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определения требований в программной инженерии: сбор, накопление, спе- цификации и классификация требований.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общая характеристика.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анализа требований. Структурный анализ: диаграммы потоков данных; описание потоков данных и процессов.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анализа, ориентированные на структуры данных.</w:t>
            </w:r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</w:tc>
      </w:tr>
      <w:tr w:rsidR="004B4A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качества ПО (четырехуровневая модель). Метрики качества программного обеспечения. Управление качеством ПС.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оценки надежности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Марковские и пуассоновские модели надежности.</w:t>
            </w:r>
          </w:p>
        </w:tc>
      </w:tr>
      <w:tr w:rsidR="004B4A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</w:tr>
      <w:tr w:rsidR="004B4A64">
        <w:trPr>
          <w:trHeight w:hRule="exact" w:val="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процесса тестирования программ. Виды и методы тестирования на различных стадиях разработки ПО.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и виды тестирования: модульное (unit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testing), интеграционное (integration testing), системное (system testing).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Регрессионное тестирование,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Тестирование белого и черного ящика. Виды дефектов, обнаруживаемые на каждом уровне. Нисходящее и восходящее тестирование.  Категории тестов системного тестирования: полнота решения функциональных задач; тестирование целостности.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Стрессовое тестирование; корректность использования ресурсов; оценка производи- тельности. Эффективность защиты от искажения данных и некорректных действий. Про- верка инсталляции и конфигурации на разных платформах; корректность документации.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Эвристические методы создания тестов.</w:t>
            </w:r>
          </w:p>
        </w:tc>
      </w:tr>
      <w:tr w:rsidR="004B4A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4A64">
        <w:trPr>
          <w:trHeight w:hRule="exact" w:val="14"/>
        </w:trPr>
        <w:tc>
          <w:tcPr>
            <w:tcW w:w="9640" w:type="dxa"/>
          </w:tcPr>
          <w:p w:rsidR="004B4A64" w:rsidRDefault="004B4A64"/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программной инженерии, ее место в инженерной деятельности</w:t>
            </w:r>
          </w:p>
        </w:tc>
      </w:tr>
      <w:tr w:rsidR="004B4A64" w:rsidRPr="00272C1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программной инженерии, ее место в инженерной деятельности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инженерия — это область компьютерной науки и технологии, которая занимается созданием программных систем, настолько больших и сложных, что для этого требуется участие слаженных команд разработчиков различных специальностей и квалификаций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программной инженерии, ее место в инженерной деятельности при создании компьютерных систем и общее описание десяти областей знаний профессионального ядра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ЖЦ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12207 и связь его процессов с областями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Методы объектного анализа и построения моделей предметных областей. Объектно-ориентированные и стандартизованные методы проектирования архитектуры системы.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программной инженерии, ее место в инженерной деятельности при создании компьютерных систем.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Общее описание десяти областей знаний профессионального ядра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ЖЦ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12207 и связь его процессов с областями знаний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SWEBOK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объектного анализа и построения моделей предметных областей.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Объектно-ориентированные и стандартизованные методы проектирова-ния архитектуры системы.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Формальные спецификации, доказательство и верификация программ</w:t>
            </w:r>
          </w:p>
        </w:tc>
      </w:tr>
      <w:tr w:rsidR="004B4A64" w:rsidRPr="00272C1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 спецификации, доказательство и верификация программ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информатике формальная спецификация — это математическое описа-ние программной или аппаратной системы, которая может быть реализована в соответствии с этим описанием.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установления правильности программ при помощи строгих средств известен как верификация программ. В отличие от тестирования программ, где анализируются свойства отдельных процессов выполнения программы, верификация имеет дело со свойствами программ.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основе метода верификации лежит предположение о том, что существует программная документация, соответствие которой требуется доказать. Документация должна содержать: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спецификацию ввода-вывода (описание данных, не зависящих от процесса обработки);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свойства отношений между элементами векторов состояний в выбранных точках программы;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спецификации и свойства структурных подкомпонентов программы;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спецификацию структур данных, зависящих от процесса обработки.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Формальные спецификации программ.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и верификация программ.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Формальные методы спецификаций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VDM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методы доказательства правильности программ с помощью утверждений, пред- и постусловий и верификации.</w:t>
            </w:r>
          </w:p>
        </w:tc>
      </w:tr>
      <w:tr w:rsidR="004B4A64" w:rsidRPr="00272C1A">
        <w:trPr>
          <w:trHeight w:hRule="exact" w:val="14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</w:tc>
      </w:tr>
      <w:tr w:rsidR="004B4A64" w:rsidRPr="00272C1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Рассматриваются основы интеграции и преобразования разноязыковых программ и данных, методы изменения (реинженерия, реверсная инженерия и рефакторинг) компонентов и систем, дана характеристика стандарта о независимости типов и структур данных от языков программирования, а также рассмотрены принципы взаимодействия неоднородных компонентов в современных промежуточных средах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Интерфейсы, взаимодействие и изменение программ и данных: основы интеграции и преобразования разноязыковых программ и данных; методы изменения (реинжениринг, рефакторинг) компонентов и систем; принципы взаимодействия неоднородных компонентов в современных промежуточных средах.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Интерфейсы,  виды интерфейсов.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и изменение программ и данных.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Основы интеграции и преобразования разноязыковых программ и данных;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Методы изменения (реинжениринг, рефакторинг) компонентов и систем;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взаимодействия неоднородных компонентов в современных промежуточных средах.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Человеко-машинные интерфейсы и дизайн</w:t>
            </w:r>
          </w:p>
        </w:tc>
      </w:tr>
      <w:tr w:rsidR="004B4A64" w:rsidRPr="00272C1A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Человеко-машинные интерфейсы и дизайн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Электронно-вычислительные машины заняли место рядом с человеком с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и со временем взаимодействие человека и компьютера только увеличивается. Наверно, не осталось сферы человеческой деятельности, где так или иначе не используются вычислительные устройства. И, если на заре развития электронно- вычислительной техники общаться с компьютерами могли только "посвященные", человек был вынужден использовать язык понятный машине, то в современной действительности вычислительные устройства становятся все более дружественными и для взаимодействия с компьютером серьезной подготовки человеку уже не требуется, разумеется, если это взаимодействие не предполагает решения сложных профессиональных задач.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Вполне объяснимо стремление разработчиков сделать взаимодействие с вычислительными устройствами как можно более естественным для человека. Развитие этого направления сдержи-валось недостаточным технологическим уровнем. Однако в последнее время в деле гуманизации пользовательских интерфейсов наметились серьезные продвижения. Появление сенсорных экра-нов и функций множественного касания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multitouch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позволяет взаимодействовать с компьюте-ром на интуитивном уровне, это подтверждается быстрым освоением подобных устройств деть-ми. Если следовать дальше, было бы логичным ожидать от компьютеров способности понимать словесные команды, реагировать на мимику и жесты людей, анализировать поведение человека и включенность его в окружающую действительность. И, оказывается, эти ожидания не напрасны, современное развитие технологий обработки речи, изображений и видео, выводит взаимодействие человека с компьютером на новый этап.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Появились идеи естественно-интуитивного взаимодействия человека с компьютером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perceptual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предполагающие способность вычислительных устройств понимать чело-века через физический контакт, словесные команды и жесты. Разработчикам программного обес-печения использование новых идей позволит создавать приложения, вносящие ощущение при-сутствия и погружения. Такого эффекта можно добиться реализацией возможностей отслежива-ния жестов рук и пальцев, анализа лица (мимики), распознавания голоса (речи), отслеживания перемещений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объектов. Умение разрабатывать такие приложения в ближайшем будущем будет востребовано. Данный курс предлагает изучить инструмент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Perceptual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научиться с его помощью добавлять элементы естественно-интуитивного взаимодействия в свои приложения. В дополнение к бесплатному комплекту средств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разработчикам понадобится интерактивная камера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Interactive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Gesture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Camera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производства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Creative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Эта камера очень похожа на бесконтактный игровой контроллер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Kinect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только меньше по размеру. Но главная разница между этими устройствами состоит в том, что интерактивная камера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Creative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разработана для работы на более близких дистанциях и поэтому может распознавать движения пальцев. Корпорация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использовала возможности этой камеры в своем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позволяющем разработчикам создавать следующее поколение естественного, современного ПО с элементами (эффектом) присутствия.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дискуссии: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человеко-компьютерного взаимодействия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такое естественно-интуитивное взаимодействие?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Области применения и примеры приложений.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включает в себя понятие человеко-машинный интерфейс?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Где используются сенсорные дисплеи?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виды клавиатур Вы знаете?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Перечислите сферы применения трекболов, джойстиков и манипуляторов типа "мышь".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Имеются ли принципиально новые, прорывные разработки в области создания средств человеко-машинного интерфейса?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эти разработки.</w:t>
            </w:r>
          </w:p>
        </w:tc>
      </w:tr>
      <w:tr w:rsidR="004B4A64">
        <w:trPr>
          <w:trHeight w:hRule="exact" w:val="14"/>
        </w:trPr>
        <w:tc>
          <w:tcPr>
            <w:tcW w:w="9640" w:type="dxa"/>
          </w:tcPr>
          <w:p w:rsidR="004B4A64" w:rsidRDefault="004B4A64"/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Инженерия приложений и предметной области: основы</w:t>
            </w:r>
          </w:p>
        </w:tc>
      </w:tr>
      <w:tr w:rsidR="004B4A64" w:rsidRPr="00272C1A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 приложений и предметной области: основы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Рассматриваются современные основы инженерии приложений и предметных областей (доменов), тенденции и направления их развития в плане производства одиночных программных систем из повторных компонентов и целых семейств с многоразовым применением компонентов и одиночных программных систем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Характерной чертой промышленной инженерной деятельности  является ис-пользование готовых решений и агрегатов. В программировании промышленное использование готовых решений и программных продуктов пока не стало повседневной практикой, но уже  сформировались признаки подобной инженерной деятельности 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и разработки в области инженерии программирования в направлении повторного использования компонентов (ПИК), готовых для применения в других областях человеческой деятельности привели к тому, что сформировалось два направления применения готовых ПИК: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прикладная инженерия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- процесс производства конкретных новых приложений из ПИК (модулей, программ, подпрограмм и др.), ранее созданных самостоятельно либо в среде программной системы или как отдельные элементы многоразового использования в инженерии другой ПрО;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инженерия ПрО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включает методы разработки, поиска, классификации, адаптации, сбора ПИК и создания из них или из готовых частей систем семейства домена, которые сохраняют наработанный опыт по реализации одного домена для применения его в другом крупном домене. Необходимое условие этой инженерии - системные инструментальные средства поддержки методов накопления ПИК и внедрения их в новые подсистемы семейства или самого домена.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Первое направление фактически характеризует создание одиночных ПС из разного рода ПИК, а второе ставит задачу создания программных систем домена и их совокупностей с выделением отдельных частей ПС при проектировании, обладающими общими свойствами и характеристиками и способными к многоразовому использованию в других доменах этой совокупности.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Инженерия приложений и предметной области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инженерии приложений и предметных областей (доменов).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Тенденции и направления их развития в плане повторного использования компонентов.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Линейки программных продуктов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стоимости системы из компонентов</w:t>
            </w:r>
          </w:p>
        </w:tc>
      </w:tr>
      <w:tr w:rsidR="004B4A64" w:rsidRPr="00272C1A">
        <w:trPr>
          <w:trHeight w:hRule="exact" w:val="14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272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продукты  для информационной поддержки взаимоотношений с клиентами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CRM</w:t>
            </w: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-системы)</w:t>
            </w:r>
          </w:p>
        </w:tc>
      </w:tr>
      <w:tr w:rsidR="004B4A64" w:rsidRPr="00272C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4A64" w:rsidRPr="00272C1A">
        <w:trPr>
          <w:trHeight w:hRule="exact" w:val="14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управления проектом, риском и конфигурацией</w:t>
            </w:r>
          </w:p>
        </w:tc>
      </w:tr>
      <w:tr w:rsidR="004B4A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проектом, риском и конфигурацией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 критического пути СРМ.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Метод анализа и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Планирование проекта.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Организационные аспекты управления проектом.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Системы управления проектом.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управления рисками в проекте.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Управление конфигурацией программной системы.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Инструментальные средства проектирования программных продуктов</w:t>
            </w:r>
          </w:p>
        </w:tc>
      </w:tr>
      <w:tr w:rsidR="004B4A64" w:rsidRPr="00272C1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проектирования программных продуктов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(англ.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унифицированный язык моделирования) — язык графического описания для объектного моделирования в области разработки программного обеспечения, моделирования бизнес-процессов, системного проектирования и отображения организационных структур.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Возможности 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построения статических моделей программных сис-тем.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Возможности 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построения динамических  моделей программных систем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Механизмы расширения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проектирования информационных систем, основные ви-ды.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Различные средства моделирования  и проектирования программных систем, ори- ентированные на использование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современное и мощное средство анализа, моделирования и разра-ботки программных систем.</w:t>
            </w:r>
          </w:p>
        </w:tc>
      </w:tr>
      <w:tr w:rsidR="004B4A64" w:rsidRPr="00272C1A">
        <w:trPr>
          <w:trHeight w:hRule="exact" w:val="14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Инструментальные средства разработки программных продуктов</w:t>
            </w:r>
          </w:p>
        </w:tc>
      </w:tr>
      <w:tr w:rsidR="004B4A64" w:rsidRPr="00272C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4A64" w:rsidRPr="00272C1A">
        <w:trPr>
          <w:trHeight w:hRule="exact" w:val="14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определения требований в программной инженерии</w:t>
            </w:r>
          </w:p>
        </w:tc>
      </w:tr>
      <w:tr w:rsidR="004B4A6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определения требований в программной инженерии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Основной инструмент проектирования приложений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основан на применении языка моделирования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представления архитектуры ПС с помощью разных видов диаграмм. Средства проектирования и моделирования общей (абстрактной) модели предприятия постепенно уточняются до конкретной (физической) модели классов создаваемой ПС. Допускается доработка созданной системы. Результат моделирования - визуальная (диаграммная) логическая модель системы.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определения требований в программной инженерии: сбор, накопление, спецификации и классификация требований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общая характеристика.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анализа требований.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Структурный анализ: диаграммы потоков данных; описание потоков данных и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анализа, ориентированные на структуры данных.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Модели качества и надежности в программной инженерии</w:t>
            </w:r>
          </w:p>
        </w:tc>
      </w:tr>
      <w:tr w:rsidR="004B4A64" w:rsidRPr="00272C1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качества и надежности в программной инженерии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посвящено  представлению моделей качества ПС, метрикам и методам достижения и измерения качества ПС. Приведена характеристика и дана классификация математических моделей надежности Марковского и пуассоновского типов.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ПС достигла такого уровня развития, что стало необходимо ис-пользовать инженерные методы, в том числе для оценивания результатов проектирования на этапах ЖЦ, контроля достижения показателей качества и метрического их анализа, оценки риска и степени использования готовых компонентов для снижения стоимости разработки нового проекта. Основу инженерных методов в программировании составляет повышение качества, для достижения которого сформировались методы определения требований к качеству, подходы к выбору и усовершенствованию моделей метрического анализа показателей качества, методы количественного измерения показателей качества на этапах ЖЦ.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Главная составляющая качества - надежность, которой уделяется большое внимание в области надежности технических средств и тех критических систем (реального времени, радарные системы, системы безопасности и др.), для которых надежность - главная целевая функция оценки их реализации. Как следствие, в проблематике надежности разработано более сотни математических моделей надежности, являющихся функциями от ошибок, оставшихся в ПС, от интенсивности отказов или частоты появления дефектов в ПС. На их основе производится оценка надежности программной системы.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Модель качества ПО (четырехуровневая модель)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Метрики качества программного обеспечения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качеством ПС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оценки надежности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Марковские и пуассоновские модели надежности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Тестирование программного обеспечения</w:t>
            </w:r>
          </w:p>
        </w:tc>
      </w:tr>
      <w:tr w:rsidR="004B4A64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программного обеспечения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тестировании проверяется, работает ли программа и все ее ветви в соответствии со своей спецификацией. Для того чтобы убедиться в том, что программист правильно понимает функции программы, и обеспечить полный и эффективный контроль всех ее ветвей, заранее разрабатывается стратегия тестирования.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тестирования программы состоят в том, что: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отсутствует эталон программы, которому должны соответствовать все ре-зультаты тестирования проверяемой программы;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принципиально невозможно создать тестовый набор для исчерпывающей проверки;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отсутствуют формализованные критерии качества программ и процесса тестирования;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необходимо создавать тесты, которые находят ошибки, а не демонстрируют правильность работы программы;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необходимо привлекать для тестирования сторонних специалистов;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необходимо избегать невоспроизводимых тестов.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характерными объектами тестирования являются: требования и спецификации, программные модули, группы программ, решающие законченные функциональные задачи.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методы тестирования на различных стадиях разработки ПО.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и виды тестирования: модульное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интеграционное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integration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системное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Регрессионное тестирование,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testing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Тестирование белого и черного ящика.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дефектов, обнаруживаемые на каждом уровне.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Нисходящее и восходящее тестирование.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Категории тестов системного тестирования: полнота решения функциональных задач; тестирование целостности.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Стрессовое тестирование; корректность использования ресурсов; оценка производительности.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Эффективность защиты от искажения данных и некорректных дейст-вий;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Проверка инсталляции и конфигурации на разных платформах; кор-ректность документации.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Эвристические методы создания тестов.</w:t>
            </w:r>
          </w:p>
        </w:tc>
      </w:tr>
    </w:tbl>
    <w:p w:rsidR="004B4A64" w:rsidRDefault="007F35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4A64" w:rsidRPr="00272C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4A64" w:rsidRPr="00272C1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«Программная инженерия» / Червенчук И.В.. – Омск: Изд-во Омской гуманитарной академии, 2020.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4A64" w:rsidRPr="00272C1A">
        <w:trPr>
          <w:trHeight w:hRule="exact" w:val="138"/>
        </w:trPr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4A64" w:rsidRPr="00272C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программную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инженерию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Кознов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программную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инженерию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hyperlink r:id="rId4" w:history="1">
              <w:r w:rsidR="00A07FA2">
                <w:rPr>
                  <w:rStyle w:val="a3"/>
                  <w:lang w:val="ru-RU"/>
                </w:rPr>
                <w:t>http://www.iprbookshop.ru/52146.html</w:t>
              </w:r>
            </w:hyperlink>
            <w:r w:rsidRPr="00430B98">
              <w:rPr>
                <w:lang w:val="ru-RU"/>
              </w:rPr>
              <w:t xml:space="preserve"> </w:t>
            </w:r>
          </w:p>
        </w:tc>
      </w:tr>
      <w:tr w:rsidR="004B4A64" w:rsidRPr="00272C1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Верификация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Налютин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Верификация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978-5-4487-0074-3.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hyperlink r:id="rId5" w:history="1">
              <w:r w:rsidR="00A07FA2">
                <w:rPr>
                  <w:rStyle w:val="a3"/>
                  <w:lang w:val="ru-RU"/>
                </w:rPr>
                <w:t>http://www.iprbookshop.ru/67396.html</w:t>
              </w:r>
            </w:hyperlink>
            <w:r w:rsidRPr="00430B98">
              <w:rPr>
                <w:lang w:val="ru-RU"/>
              </w:rPr>
              <w:t xml:space="preserve"> </w:t>
            </w:r>
          </w:p>
        </w:tc>
      </w:tr>
      <w:tr w:rsidR="004B4A64" w:rsidRPr="00272C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hyperlink r:id="rId6" w:history="1">
              <w:r w:rsidR="00A07FA2">
                <w:rPr>
                  <w:rStyle w:val="a3"/>
                  <w:lang w:val="ru-RU"/>
                </w:rPr>
                <w:t>http://www.iprbookshop.ru/69425.html</w:t>
              </w:r>
            </w:hyperlink>
            <w:r w:rsidRPr="00430B98">
              <w:rPr>
                <w:lang w:val="ru-RU"/>
              </w:rPr>
              <w:t xml:space="preserve"> </w:t>
            </w:r>
          </w:p>
        </w:tc>
      </w:tr>
      <w:tr w:rsidR="004B4A64" w:rsidRPr="00272C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hyperlink r:id="rId7" w:history="1">
              <w:r w:rsidR="00A07FA2">
                <w:rPr>
                  <w:rStyle w:val="a3"/>
                  <w:lang w:val="ru-RU"/>
                </w:rPr>
                <w:t>https://urait.ru/bcode/436514</w:t>
              </w:r>
            </w:hyperlink>
            <w:r w:rsidRPr="00430B98">
              <w:rPr>
                <w:lang w:val="ru-RU"/>
              </w:rPr>
              <w:t xml:space="preserve"> </w:t>
            </w:r>
          </w:p>
        </w:tc>
      </w:tr>
      <w:tr w:rsidR="004B4A64">
        <w:trPr>
          <w:trHeight w:hRule="exact" w:val="277"/>
        </w:trPr>
        <w:tc>
          <w:tcPr>
            <w:tcW w:w="285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4A64" w:rsidRPr="00272C1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hyperlink r:id="rId8" w:history="1">
              <w:r w:rsidR="00A07FA2">
                <w:rPr>
                  <w:rStyle w:val="a3"/>
                  <w:lang w:val="ru-RU"/>
                </w:rPr>
                <w:t>http://www.iprbookshop.ru/62809.html</w:t>
              </w:r>
            </w:hyperlink>
            <w:r w:rsidRPr="00430B98">
              <w:rPr>
                <w:lang w:val="ru-RU"/>
              </w:rPr>
              <w:t xml:space="preserve"> </w:t>
            </w:r>
          </w:p>
        </w:tc>
      </w:tr>
      <w:tr w:rsidR="004B4A64" w:rsidRPr="00272C1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272C1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Мейер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978-5-4486-0513-0.</w:t>
            </w:r>
            <w:r w:rsidRPr="00430B98">
              <w:rPr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0B98">
              <w:rPr>
                <w:lang w:val="ru-RU"/>
              </w:rPr>
              <w:t xml:space="preserve"> </w:t>
            </w:r>
            <w:hyperlink r:id="rId9" w:history="1">
              <w:r w:rsidR="00A07FA2">
                <w:rPr>
                  <w:rStyle w:val="a3"/>
                  <w:lang w:val="ru-RU"/>
                </w:rPr>
                <w:t>http://www.iprbookshop.ru/79706.html</w:t>
              </w:r>
            </w:hyperlink>
            <w:r w:rsidRPr="00430B98">
              <w:rPr>
                <w:lang w:val="ru-RU"/>
              </w:rPr>
              <w:t xml:space="preserve"> </w:t>
            </w:r>
          </w:p>
        </w:tc>
      </w:tr>
      <w:tr w:rsidR="004B4A64" w:rsidRPr="00272C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4A64" w:rsidRPr="00272C1A">
        <w:trPr>
          <w:trHeight w:hRule="exact" w:val="17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272C1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4A64" w:rsidRPr="00272C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4A64" w:rsidRPr="00272C1A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272C1A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4A64" w:rsidRPr="00272C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4A64" w:rsidRPr="00272C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4A64" w:rsidRDefault="007F35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4A64" w:rsidRPr="00430B98" w:rsidRDefault="004B4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4A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07F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4A64" w:rsidRPr="00272C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4A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Default="007F3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4A64" w:rsidRPr="00272C1A">
        <w:trPr>
          <w:trHeight w:hRule="exact" w:val="22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272C1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4A64" w:rsidRPr="00272C1A">
        <w:trPr>
          <w:trHeight w:hRule="exact" w:val="277"/>
        </w:trPr>
        <w:tc>
          <w:tcPr>
            <w:tcW w:w="9640" w:type="dxa"/>
          </w:tcPr>
          <w:p w:rsidR="004B4A64" w:rsidRPr="00430B98" w:rsidRDefault="004B4A64">
            <w:pPr>
              <w:rPr>
                <w:lang w:val="ru-RU"/>
              </w:rPr>
            </w:pPr>
          </w:p>
        </w:tc>
      </w:tr>
      <w:tr w:rsidR="004B4A64" w:rsidRPr="00272C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4A64" w:rsidRPr="00272C1A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B4A64" w:rsidRPr="00430B98" w:rsidRDefault="007F352D">
      <w:pPr>
        <w:rPr>
          <w:sz w:val="0"/>
          <w:szCs w:val="0"/>
          <w:lang w:val="ru-RU"/>
        </w:rPr>
      </w:pPr>
      <w:r w:rsidRPr="00430B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A64" w:rsidRPr="00272C1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B4A64" w:rsidRPr="00430B98" w:rsidRDefault="007F35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B4A64" w:rsidRPr="00272C1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30B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B4A64" w:rsidRPr="00272C1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A64" w:rsidRPr="00430B98" w:rsidRDefault="007F35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E6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E6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E62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DE6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0B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4B4A64" w:rsidRPr="00430B98" w:rsidRDefault="004B4A64">
      <w:pPr>
        <w:rPr>
          <w:lang w:val="ru-RU"/>
        </w:rPr>
      </w:pPr>
    </w:p>
    <w:sectPr w:rsidR="004B4A64" w:rsidRPr="00430B98" w:rsidSect="008821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3860"/>
    <w:rsid w:val="001C4E07"/>
    <w:rsid w:val="001F0BC7"/>
    <w:rsid w:val="00272C1A"/>
    <w:rsid w:val="00430B98"/>
    <w:rsid w:val="00497BD9"/>
    <w:rsid w:val="004B4A64"/>
    <w:rsid w:val="005733A8"/>
    <w:rsid w:val="006D11A8"/>
    <w:rsid w:val="0077241D"/>
    <w:rsid w:val="007F352D"/>
    <w:rsid w:val="008821EA"/>
    <w:rsid w:val="00942259"/>
    <w:rsid w:val="009C5E8C"/>
    <w:rsid w:val="00A07FA2"/>
    <w:rsid w:val="00D31453"/>
    <w:rsid w:val="00DC156D"/>
    <w:rsid w:val="00DE6254"/>
    <w:rsid w:val="00E209E2"/>
    <w:rsid w:val="00F45E90"/>
    <w:rsid w:val="00F7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47E915-3373-4D8A-9F23-298FC264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52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352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07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80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651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425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67396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52146.html" TargetMode="External"/><Relationship Id="rId9" Type="http://schemas.openxmlformats.org/officeDocument/2006/relationships/hyperlink" Target="http://www.iprbookshop.ru/7970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9377</Words>
  <Characters>53453</Characters>
  <Application>Microsoft Office Word</Application>
  <DocSecurity>0</DocSecurity>
  <Lines>445</Lines>
  <Paragraphs>125</Paragraphs>
  <ScaleCrop>false</ScaleCrop>
  <Company/>
  <LinksUpToDate>false</LinksUpToDate>
  <CharactersWithSpaces>62705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2020-2021_ФГОС3++2020_Бак-ОФО-ПИ(20)_plx_Программная инженерия</dc:title>
  <dc:creator>FastReport.NET</dc:creator>
  <cp:lastModifiedBy>Mark Bernstorf</cp:lastModifiedBy>
  <cp:revision>13</cp:revision>
  <dcterms:created xsi:type="dcterms:W3CDTF">2021-04-05T04:21:00Z</dcterms:created>
  <dcterms:modified xsi:type="dcterms:W3CDTF">2022-11-12T09:16:00Z</dcterms:modified>
</cp:coreProperties>
</file>